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EC" w:rsidRPr="00B31990" w:rsidRDefault="00B31990">
      <w:pPr>
        <w:rPr>
          <w:b/>
          <w:lang w:val="da-DK"/>
        </w:rPr>
      </w:pPr>
      <w:r w:rsidRPr="00B31990">
        <w:rPr>
          <w:b/>
          <w:lang w:val="da-DK"/>
        </w:rPr>
        <w:t>INTERARENA – data om danske interesseorganisationer</w:t>
      </w:r>
    </w:p>
    <w:p w:rsidR="00B31990" w:rsidRDefault="00B31990">
      <w:pPr>
        <w:rPr>
          <w:lang w:val="da-DK"/>
        </w:rPr>
      </w:pPr>
      <w:r>
        <w:rPr>
          <w:lang w:val="da-DK"/>
        </w:rPr>
        <w:t xml:space="preserve">Dette notat beskriver den fortegnelse over danske interesseorganisationer, der er gjort tilgængelig på </w:t>
      </w:r>
      <w:hyperlink r:id="rId6" w:history="1">
        <w:r w:rsidRPr="00BD46E8">
          <w:rPr>
            <w:rStyle w:val="Hyperlink"/>
            <w:lang w:val="da-DK"/>
          </w:rPr>
          <w:t>www.interarena.dk</w:t>
        </w:r>
      </w:hyperlink>
      <w:r>
        <w:rPr>
          <w:lang w:val="da-DK"/>
        </w:rPr>
        <w:t xml:space="preserve">.  Fortegnelsen indeholder de organisationer, der indgår i forskningsprojektet </w:t>
      </w:r>
      <w:proofErr w:type="spellStart"/>
      <w:r>
        <w:rPr>
          <w:lang w:val="da-DK"/>
        </w:rPr>
        <w:t>INTERARENAs</w:t>
      </w:r>
      <w:proofErr w:type="spellEnd"/>
      <w:r>
        <w:rPr>
          <w:lang w:val="da-DK"/>
        </w:rPr>
        <w:t xml:space="preserve"> kortlægning af danske interesseorganisationer. Dataarket indeholder følgende oplysninger om organisationerne:</w:t>
      </w:r>
    </w:p>
    <w:p w:rsidR="00B31990" w:rsidRPr="00B31990" w:rsidRDefault="00B31990" w:rsidP="00B31990">
      <w:pPr>
        <w:rPr>
          <w:b/>
          <w:lang w:val="da-DK"/>
        </w:rPr>
      </w:pPr>
      <w:r w:rsidRPr="00B31990">
        <w:rPr>
          <w:b/>
          <w:lang w:val="da-DK"/>
        </w:rPr>
        <w:t>1. ID</w:t>
      </w:r>
    </w:p>
    <w:p w:rsidR="00B31990" w:rsidRDefault="00B31990" w:rsidP="00B31990">
      <w:pPr>
        <w:rPr>
          <w:lang w:val="da-DK"/>
        </w:rPr>
      </w:pPr>
      <w:r>
        <w:rPr>
          <w:lang w:val="da-DK"/>
        </w:rPr>
        <w:t>Et unikt ID nummer for hver organisation.</w:t>
      </w:r>
    </w:p>
    <w:p w:rsidR="00B31990" w:rsidRPr="00B31990" w:rsidRDefault="00B31990" w:rsidP="00B31990">
      <w:pPr>
        <w:rPr>
          <w:b/>
          <w:lang w:val="da-DK"/>
        </w:rPr>
      </w:pPr>
      <w:r w:rsidRPr="00B31990">
        <w:rPr>
          <w:b/>
          <w:lang w:val="da-DK"/>
        </w:rPr>
        <w:t>2. Navn</w:t>
      </w:r>
    </w:p>
    <w:p w:rsidR="00B31990" w:rsidRDefault="00B31990" w:rsidP="00B31990">
      <w:pPr>
        <w:rPr>
          <w:lang w:val="da-DK"/>
        </w:rPr>
      </w:pPr>
      <w:r>
        <w:rPr>
          <w:lang w:val="da-DK"/>
        </w:rPr>
        <w:t>Organisationens navn</w:t>
      </w:r>
    </w:p>
    <w:p w:rsidR="00B31990" w:rsidRPr="00B31990" w:rsidRDefault="00B31990" w:rsidP="00B31990">
      <w:pPr>
        <w:rPr>
          <w:b/>
          <w:lang w:val="da-DK"/>
        </w:rPr>
      </w:pPr>
      <w:r w:rsidRPr="00B31990">
        <w:rPr>
          <w:b/>
          <w:lang w:val="da-DK"/>
        </w:rPr>
        <w:t>3. Type</w:t>
      </w:r>
    </w:p>
    <w:p w:rsidR="00B31990" w:rsidRDefault="00B31990" w:rsidP="00B31990">
      <w:pPr>
        <w:rPr>
          <w:lang w:val="da-DK"/>
        </w:rPr>
      </w:pPr>
      <w:r>
        <w:rPr>
          <w:lang w:val="da-DK"/>
        </w:rPr>
        <w:t>Organisationens type kodet af INTERARENA. Følgende kategorier er anvendt:</w:t>
      </w:r>
    </w:p>
    <w:p w:rsidR="00B31990" w:rsidRDefault="00B31990" w:rsidP="00B31990">
      <w:pPr>
        <w:rPr>
          <w:lang w:val="da-DK"/>
        </w:rPr>
      </w:pPr>
      <w:r>
        <w:rPr>
          <w:lang w:val="da-DK"/>
        </w:rPr>
        <w:t>10-13</w:t>
      </w:r>
      <w:r>
        <w:rPr>
          <w:lang w:val="da-DK"/>
        </w:rPr>
        <w:tab/>
        <w:t>Fagforeninger</w:t>
      </w:r>
    </w:p>
    <w:p w:rsidR="00B31990" w:rsidRDefault="00B31990" w:rsidP="00B31990">
      <w:pPr>
        <w:rPr>
          <w:lang w:val="da-DK"/>
        </w:rPr>
      </w:pPr>
      <w:r>
        <w:rPr>
          <w:lang w:val="da-DK"/>
        </w:rPr>
        <w:t>20-25</w:t>
      </w:r>
      <w:r>
        <w:rPr>
          <w:lang w:val="da-DK"/>
        </w:rPr>
        <w:tab/>
        <w:t>Erhvervsorganisationer</w:t>
      </w:r>
    </w:p>
    <w:p w:rsidR="00B31990" w:rsidRDefault="00B31990" w:rsidP="00B31990">
      <w:pPr>
        <w:rPr>
          <w:lang w:val="da-DK"/>
        </w:rPr>
      </w:pPr>
      <w:r>
        <w:rPr>
          <w:lang w:val="da-DK"/>
        </w:rPr>
        <w:t>30-34</w:t>
      </w:r>
      <w:r>
        <w:rPr>
          <w:lang w:val="da-DK"/>
        </w:rPr>
        <w:tab/>
        <w:t>Organisationer for institutioner og myndigheder</w:t>
      </w:r>
    </w:p>
    <w:p w:rsidR="00B31990" w:rsidRDefault="00B31990" w:rsidP="00B31990">
      <w:pPr>
        <w:rPr>
          <w:lang w:val="da-DK"/>
        </w:rPr>
      </w:pPr>
      <w:r>
        <w:rPr>
          <w:lang w:val="da-DK"/>
        </w:rPr>
        <w:t>40-44</w:t>
      </w:r>
      <w:r>
        <w:rPr>
          <w:lang w:val="da-DK"/>
        </w:rPr>
        <w:tab/>
        <w:t>Professionelle organisationer</w:t>
      </w:r>
    </w:p>
    <w:p w:rsidR="00B31990" w:rsidRDefault="00B31990" w:rsidP="00B31990">
      <w:pPr>
        <w:rPr>
          <w:lang w:val="da-DK"/>
        </w:rPr>
      </w:pPr>
      <w:r>
        <w:rPr>
          <w:lang w:val="da-DK"/>
        </w:rPr>
        <w:t>50-56</w:t>
      </w:r>
      <w:r>
        <w:rPr>
          <w:lang w:val="da-DK"/>
        </w:rPr>
        <w:tab/>
        <w:t>Identitetsorganisationer</w:t>
      </w:r>
    </w:p>
    <w:p w:rsidR="00B31990" w:rsidRDefault="00B31990" w:rsidP="00B31990">
      <w:pPr>
        <w:rPr>
          <w:lang w:val="da-DK"/>
        </w:rPr>
      </w:pPr>
      <w:r>
        <w:rPr>
          <w:lang w:val="da-DK"/>
        </w:rPr>
        <w:t>60-62</w:t>
      </w:r>
      <w:r>
        <w:rPr>
          <w:lang w:val="da-DK"/>
        </w:rPr>
        <w:tab/>
        <w:t>Hobbyorganisationer</w:t>
      </w:r>
    </w:p>
    <w:p w:rsidR="00B31990" w:rsidRDefault="00B31990" w:rsidP="00B31990">
      <w:pPr>
        <w:rPr>
          <w:lang w:val="da-DK"/>
        </w:rPr>
      </w:pPr>
      <w:r>
        <w:rPr>
          <w:lang w:val="da-DK"/>
        </w:rPr>
        <w:t>70-72</w:t>
      </w:r>
      <w:r>
        <w:rPr>
          <w:lang w:val="da-DK"/>
        </w:rPr>
        <w:tab/>
        <w:t>Religiøse organisationer</w:t>
      </w:r>
    </w:p>
    <w:p w:rsidR="00B31990" w:rsidRPr="00B31990" w:rsidRDefault="00B31990" w:rsidP="00B31990">
      <w:pPr>
        <w:rPr>
          <w:lang w:val="da-DK"/>
        </w:rPr>
      </w:pPr>
      <w:r>
        <w:rPr>
          <w:lang w:val="da-DK"/>
        </w:rPr>
        <w:t>80-85</w:t>
      </w:r>
      <w:r>
        <w:rPr>
          <w:lang w:val="da-DK"/>
        </w:rPr>
        <w:tab/>
        <w:t>Ideelle organisationer</w:t>
      </w:r>
      <w:bookmarkStart w:id="0" w:name="_GoBack"/>
      <w:bookmarkEnd w:id="0"/>
    </w:p>
    <w:p w:rsidR="00B31990" w:rsidRPr="00B31990" w:rsidRDefault="00B31990">
      <w:pPr>
        <w:rPr>
          <w:b/>
          <w:lang w:val="da-DK"/>
        </w:rPr>
      </w:pPr>
      <w:r w:rsidRPr="00B31990">
        <w:rPr>
          <w:b/>
          <w:lang w:val="da-DK"/>
        </w:rPr>
        <w:t>4. Medieadgang</w:t>
      </w:r>
    </w:p>
    <w:p w:rsidR="00B31990" w:rsidRDefault="00B31990">
      <w:pPr>
        <w:rPr>
          <w:lang w:val="da-DK"/>
        </w:rPr>
      </w:pPr>
      <w:r>
        <w:rPr>
          <w:lang w:val="da-DK"/>
        </w:rPr>
        <w:t>Som led i projektet har vi registreret organisationer, der optrådte i Jyllands-Posten og Politiken i perioden 1. juli 2009 til 30. juni 2010. Konkret er optalt optræden i første sektion eller erhvervssektionen i samlet set 26 uger. Tallet angiver antallet af artikler den enkelte organisation optrådte i.</w:t>
      </w:r>
    </w:p>
    <w:p w:rsidR="00B31990" w:rsidRDefault="00B31990">
      <w:pPr>
        <w:rPr>
          <w:b/>
          <w:lang w:val="da-DK"/>
        </w:rPr>
      </w:pPr>
      <w:r w:rsidRPr="00B31990">
        <w:rPr>
          <w:b/>
          <w:lang w:val="da-DK"/>
        </w:rPr>
        <w:t xml:space="preserve">5. </w:t>
      </w:r>
      <w:proofErr w:type="spellStart"/>
      <w:r w:rsidRPr="00B31990">
        <w:rPr>
          <w:b/>
          <w:lang w:val="da-DK"/>
        </w:rPr>
        <w:t>Admadgang</w:t>
      </w:r>
      <w:proofErr w:type="spellEnd"/>
    </w:p>
    <w:p w:rsidR="00794330" w:rsidRPr="00794330" w:rsidRDefault="00794330">
      <w:pPr>
        <w:rPr>
          <w:lang w:val="da-DK"/>
        </w:rPr>
      </w:pPr>
      <w:r>
        <w:rPr>
          <w:lang w:val="da-DK"/>
        </w:rPr>
        <w:t>Vi har registreret antallet af medlemskaber af statslige råd, nævn, kommissioner og udvalg pr. 31. december 2010. I de fleste tilfælde er det uden problemer at sige, at en organisation får et point for hvert medlem af et sådant kollegialt organ. I nogle tilfælde indstiller organisationerne imidlertid mange flere medlemmer, end der medvirker ved sagsbehandling. Det gælder typisk klage- og ankeor</w:t>
      </w:r>
      <w:r w:rsidR="00613C05">
        <w:rPr>
          <w:lang w:val="da-DK"/>
        </w:rPr>
        <w:t xml:space="preserve">ganer som eksempelvis Natur- og Miljøklagenævnet eller et af de mange forbrugerankenævn. I disse tilfælde tilskrives den enkelte organisation et medlemskab, såfremt en af den pågældende organisations indstillede altid deltager i sagsbehandlingen og intet medlemskab, såfremt ingen af den pågældende organisations </w:t>
      </w:r>
      <w:r w:rsidR="00613C05">
        <w:rPr>
          <w:lang w:val="da-DK"/>
        </w:rPr>
        <w:lastRenderedPageBreak/>
        <w:t>indstillede ikke med sikkerhed deltager i sagsbehandlingen</w:t>
      </w:r>
      <w:r w:rsidR="00B972A7">
        <w:rPr>
          <w:lang w:val="da-DK"/>
        </w:rPr>
        <w:t xml:space="preserve">. Der sker hermed en undervurdering af nogle organisationers administrative adgang. Denne undervurdering har vi vurderet var et mindre problem, end den kraftige overvurdering, der ville ske, hvis alle en organisations indstillede talte med. </w:t>
      </w:r>
    </w:p>
    <w:p w:rsidR="00B31990" w:rsidRDefault="00B31990">
      <w:pPr>
        <w:rPr>
          <w:b/>
          <w:lang w:val="da-DK"/>
        </w:rPr>
      </w:pPr>
      <w:r w:rsidRPr="00B31990">
        <w:rPr>
          <w:b/>
          <w:lang w:val="da-DK"/>
        </w:rPr>
        <w:t xml:space="preserve">6. </w:t>
      </w:r>
      <w:proofErr w:type="spellStart"/>
      <w:r w:rsidRPr="00B31990">
        <w:rPr>
          <w:b/>
          <w:lang w:val="da-DK"/>
        </w:rPr>
        <w:t>Parladgang</w:t>
      </w:r>
      <w:proofErr w:type="spellEnd"/>
    </w:p>
    <w:p w:rsidR="00FA168C" w:rsidRPr="00FA168C" w:rsidRDefault="00FA168C">
      <w:pPr>
        <w:rPr>
          <w:lang w:val="da-DK"/>
        </w:rPr>
      </w:pPr>
      <w:r>
        <w:rPr>
          <w:lang w:val="da-DK"/>
        </w:rPr>
        <w:t>Parlamentet er den tredje arena vi inddrager i projektet. Særligt i forhold til parlamentet er det vanskeligt at finde et mål for adgang, da der ikke er formelle regler for dette.  Vi har estimeret organisationernes adgang til parlamentet gennem tre indikatorer. For det første har vi registreret alle breve til folketingets udvalg i perioden 1. juli 2009 til 30. juni 2010 og kodet, hvorvidt disse breve har ført til en reaktion i Folketinget i form af 1) udvalgsspørgsmål, 2) § 20 spørgsmål og/eller 3) samrådsspørgsmål. For det andet har vi registreret, hvor mange gange en organisation sender deputationer til folketingets udvalg. For det tredje, har vi via adgang til folketingsmedlemmers kalendere i 3 måneder talt antal møder, organisationerne får med medlemmer af Folketinget. Tallet angiver derfor summen af disse tre mål for adgang til den parlamentariske arena.</w:t>
      </w:r>
    </w:p>
    <w:p w:rsidR="00B31990" w:rsidRPr="00B31990" w:rsidRDefault="00B31990">
      <w:pPr>
        <w:rPr>
          <w:lang w:val="da-DK"/>
        </w:rPr>
      </w:pPr>
    </w:p>
    <w:sectPr w:rsidR="00B31990" w:rsidRPr="00B319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236"/>
    <w:multiLevelType w:val="hybridMultilevel"/>
    <w:tmpl w:val="E37C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90"/>
    <w:rsid w:val="001062EC"/>
    <w:rsid w:val="00533C75"/>
    <w:rsid w:val="00613C05"/>
    <w:rsid w:val="00794330"/>
    <w:rsid w:val="00B31990"/>
    <w:rsid w:val="00B972A7"/>
    <w:rsid w:val="00F52231"/>
    <w:rsid w:val="00FA168C"/>
    <w:rsid w:val="00FC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31990"/>
    <w:pPr>
      <w:ind w:left="720"/>
      <w:contextualSpacing/>
    </w:pPr>
  </w:style>
  <w:style w:type="character" w:styleId="Hyperlink">
    <w:name w:val="Hyperlink"/>
    <w:basedOn w:val="Standardskrifttypeiafsnit"/>
    <w:uiPriority w:val="99"/>
    <w:unhideWhenUsed/>
    <w:rsid w:val="00B31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31990"/>
    <w:pPr>
      <w:ind w:left="720"/>
      <w:contextualSpacing/>
    </w:pPr>
  </w:style>
  <w:style w:type="character" w:styleId="Hyperlink">
    <w:name w:val="Hyperlink"/>
    <w:basedOn w:val="Standardskrifttypeiafsnit"/>
    <w:uiPriority w:val="99"/>
    <w:unhideWhenUsed/>
    <w:rsid w:val="00B31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arena.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Business and Social Science</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Skorkjær Binderkrantz</dc:creator>
  <cp:lastModifiedBy>Anne Skorkjær Binderkrantz</cp:lastModifiedBy>
  <cp:revision>2</cp:revision>
  <dcterms:created xsi:type="dcterms:W3CDTF">2012-10-29T13:51:00Z</dcterms:created>
  <dcterms:modified xsi:type="dcterms:W3CDTF">2012-10-29T13:51:00Z</dcterms:modified>
</cp:coreProperties>
</file>